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ascii="Arial" w:hAnsi="Arial" w:cs="Arial"/>
          <w:b/>
          <w:sz w:val="22"/>
          <w:szCs w:val="22"/>
        </w:rPr>
      </w:pPr>
      <w:bookmarkStart w:id="0" w:name="_Ref494746248"/>
      <w:r>
        <w:rPr>
          <w:rFonts w:ascii="Arial" w:hAnsi="Arial" w:cs="Arial"/>
          <w:b/>
          <w:sz w:val="22"/>
          <w:szCs w:val="22"/>
        </w:rPr>
        <w:t>3GPP TSG RAN WG1 #108-e</w:t>
      </w:r>
      <w:r>
        <w:rPr>
          <w:rFonts w:ascii="Arial" w:hAnsi="Arial" w:cs="Arial"/>
          <w:b/>
          <w:sz w:val="22"/>
          <w:szCs w:val="22"/>
        </w:rPr>
        <w:tab/>
      </w:r>
      <w:r>
        <w:rPr>
          <w:rFonts w:ascii="Arial" w:hAnsi="Arial" w:cs="Arial"/>
          <w:b/>
          <w:sz w:val="22"/>
          <w:szCs w:val="22"/>
        </w:rPr>
        <w:t>R1-2201181</w:t>
      </w:r>
    </w:p>
    <w:p>
      <w:pPr>
        <w:tabs>
          <w:tab w:val="right" w:pos="9630"/>
        </w:tabs>
        <w:spacing w:after="0"/>
        <w:rPr>
          <w:rFonts w:ascii="Arial" w:hAnsi="Arial" w:cs="Arial"/>
          <w:b/>
          <w:sz w:val="22"/>
          <w:szCs w:val="22"/>
        </w:rPr>
      </w:pPr>
      <w:r>
        <w:rPr>
          <w:rFonts w:ascii="Arial" w:hAnsi="Arial" w:cs="Arial"/>
          <w:b/>
          <w:bCs/>
          <w:sz w:val="22"/>
          <w:szCs w:val="22"/>
          <w:lang w:val="en-GB"/>
        </w:rPr>
        <w:t>e-Meeting, February 21</w:t>
      </w:r>
      <w:r>
        <w:rPr>
          <w:rFonts w:ascii="Arial" w:hAnsi="Arial" w:cs="Arial"/>
          <w:b/>
          <w:bCs/>
          <w:sz w:val="22"/>
          <w:szCs w:val="22"/>
          <w:vertAlign w:val="superscript"/>
          <w:lang w:val="en-GB"/>
        </w:rPr>
        <w:t>st</w:t>
      </w:r>
      <w:r>
        <w:rPr>
          <w:rFonts w:ascii="Arial" w:hAnsi="Arial" w:cs="Arial"/>
          <w:b/>
          <w:bCs/>
          <w:sz w:val="22"/>
          <w:szCs w:val="22"/>
          <w:lang w:val="en-GB"/>
        </w:rPr>
        <w:t xml:space="preserve"> – March 3</w:t>
      </w:r>
      <w:r>
        <w:rPr>
          <w:rFonts w:ascii="Arial" w:hAnsi="Arial" w:cs="Arial"/>
          <w:b/>
          <w:bCs/>
          <w:sz w:val="22"/>
          <w:szCs w:val="22"/>
          <w:vertAlign w:val="superscript"/>
          <w:lang w:val="en-GB"/>
        </w:rPr>
        <w:t>rd</w:t>
      </w:r>
      <w:r>
        <w:rPr>
          <w:rFonts w:ascii="Arial" w:hAnsi="Arial" w:cs="Arial"/>
          <w:b/>
          <w:bCs/>
          <w:sz w:val="22"/>
          <w:szCs w:val="22"/>
          <w:lang w:val="en-GB"/>
        </w:rPr>
        <w:t>, 2022</w:t>
      </w:r>
      <w:r>
        <w:rPr>
          <w:rFonts w:ascii="Arial" w:hAnsi="Arial" w:cs="Arial"/>
          <w:b/>
          <w:sz w:val="22"/>
          <w:szCs w:val="22"/>
          <w:lang w:eastAsia="zh-CN"/>
        </w:rPr>
        <w:tab/>
      </w:r>
    </w:p>
    <w:p>
      <w:pPr>
        <w:pStyle w:val="37"/>
        <w:jc w:val="both"/>
      </w:pPr>
    </w:p>
    <w:p>
      <w:pPr>
        <w:tabs>
          <w:tab w:val="left" w:pos="1985"/>
        </w:tabs>
        <w:spacing w:after="0"/>
        <w:rPr>
          <w:rFonts w:ascii="Arial" w:hAnsi="Arial"/>
          <w:b/>
        </w:rPr>
      </w:pPr>
      <w:r>
        <w:rPr>
          <w:rFonts w:ascii="Arial" w:hAnsi="Arial"/>
          <w:b/>
        </w:rPr>
        <w:t xml:space="preserve">Title: </w:t>
      </w:r>
      <w:r>
        <w:rPr>
          <w:rFonts w:ascii="Arial" w:hAnsi="Arial"/>
          <w:b/>
        </w:rPr>
        <w:tab/>
      </w:r>
      <w:r>
        <w:rPr>
          <w:rFonts w:ascii="Arial" w:hAnsi="Arial"/>
          <w:b/>
        </w:rPr>
        <w:t>Discussion on other Rel-17 UE features</w:t>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8.16.17</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eastAsia="zh-CN"/>
        </w:rPr>
      </w:pPr>
      <w:r>
        <w:rPr>
          <w:lang w:val="en-GB" w:eastAsia="zh-CN"/>
        </w:rPr>
        <w:t>After RAN1#107b-e meeting, moderators summarized the preliminary RAN1 UE features list for Rel-17 NR [1]. In this contribution, we present our analysis and views on other Rel-17 UE features.</w:t>
      </w:r>
    </w:p>
    <w:p>
      <w:pPr>
        <w:pStyle w:val="2"/>
        <w:rPr>
          <w:lang w:eastAsia="zh-CN"/>
        </w:rPr>
      </w:pPr>
      <w:r>
        <w:rPr>
          <w:lang w:eastAsia="zh-CN"/>
        </w:rPr>
        <w:t>Discussion</w:t>
      </w:r>
    </w:p>
    <w:p>
      <w:pPr>
        <w:pStyle w:val="3"/>
        <w:rPr>
          <w:lang w:eastAsia="zh-CN"/>
        </w:rPr>
      </w:pPr>
      <w:r>
        <w:rPr>
          <w:lang w:eastAsia="zh-CN"/>
        </w:rPr>
        <w:t xml:space="preserve">Rel-17 </w:t>
      </w:r>
      <w:r>
        <w:rPr>
          <w:rFonts w:hint="eastAsia"/>
          <w:lang w:eastAsia="zh-CN"/>
        </w:rPr>
        <w:t>U</w:t>
      </w:r>
      <w:r>
        <w:rPr>
          <w:lang w:eastAsia="zh-CN"/>
        </w:rPr>
        <w:t>L Tx switching</w:t>
      </w:r>
    </w:p>
    <w:p>
      <w:pPr>
        <w:rPr>
          <w:lang w:val="en-GB" w:eastAsia="zh-CN"/>
        </w:rPr>
      </w:pPr>
      <w:r>
        <w:rPr>
          <w:rFonts w:hint="eastAsia"/>
          <w:lang w:val="en-GB" w:eastAsia="zh-CN"/>
        </w:rPr>
        <w:t>I</w:t>
      </w:r>
      <w:r>
        <w:rPr>
          <w:lang w:val="en-GB" w:eastAsia="zh-CN"/>
        </w:rPr>
        <w:t xml:space="preserve">n Rel-16, we have the following per-BC UE feature to supported option for UL Tx switching for inter-band UL CA. </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9"/>
        <w:gridCol w:w="715"/>
        <w:gridCol w:w="1573"/>
        <w:gridCol w:w="6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8" w:type="pct"/>
            <w:shd w:val="clear" w:color="auto" w:fill="auto"/>
          </w:tcPr>
          <w:p>
            <w:pPr>
              <w:pStyle w:val="63"/>
            </w:pPr>
            <w:r>
              <w:rPr>
                <w:rFonts w:hint="eastAsia"/>
              </w:rPr>
              <w:t>Features</w:t>
            </w:r>
          </w:p>
        </w:tc>
        <w:tc>
          <w:tcPr>
            <w:tcW w:w="363" w:type="pct"/>
            <w:shd w:val="clear" w:color="auto" w:fill="auto"/>
          </w:tcPr>
          <w:p>
            <w:pPr>
              <w:pStyle w:val="63"/>
            </w:pPr>
            <w:r>
              <w:rPr>
                <w:rFonts w:hint="eastAsia"/>
              </w:rPr>
              <w:t>Index</w:t>
            </w:r>
          </w:p>
        </w:tc>
        <w:tc>
          <w:tcPr>
            <w:tcW w:w="798" w:type="pct"/>
            <w:shd w:val="clear" w:color="auto" w:fill="auto"/>
          </w:tcPr>
          <w:p>
            <w:pPr>
              <w:pStyle w:val="63"/>
            </w:pPr>
            <w:r>
              <w:rPr>
                <w:rFonts w:hint="eastAsia"/>
              </w:rPr>
              <w:t>Feature group</w:t>
            </w:r>
          </w:p>
        </w:tc>
        <w:tc>
          <w:tcPr>
            <w:tcW w:w="3261" w:type="pct"/>
            <w:shd w:val="clear" w:color="auto" w:fill="auto"/>
          </w:tcPr>
          <w:p>
            <w:pPr>
              <w:pStyle w:val="63"/>
            </w:pPr>
            <w:r>
              <w:rPr>
                <w:rFonts w:hint="eastAsia"/>
              </w:rPr>
              <w:t>Components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578" w:type="pct"/>
            <w:shd w:val="clear" w:color="auto" w:fill="auto"/>
          </w:tcPr>
          <w:p>
            <w:pPr>
              <w:pStyle w:val="63"/>
              <w:jc w:val="left"/>
              <w:rPr>
                <w:b w:val="0"/>
                <w:bCs/>
              </w:rPr>
            </w:pPr>
            <w:r>
              <w:rPr>
                <w:b w:val="0"/>
                <w:bCs/>
              </w:rPr>
              <w:t>22. NR Others</w:t>
            </w:r>
          </w:p>
        </w:tc>
        <w:tc>
          <w:tcPr>
            <w:tcW w:w="363" w:type="pct"/>
            <w:shd w:val="clear" w:color="auto" w:fill="auto"/>
          </w:tcPr>
          <w:p>
            <w:pPr>
              <w:pStyle w:val="63"/>
              <w:jc w:val="left"/>
              <w:rPr>
                <w:b w:val="0"/>
                <w:bCs/>
              </w:rPr>
            </w:pPr>
            <w:r>
              <w:rPr>
                <w:b w:val="0"/>
                <w:bCs/>
              </w:rPr>
              <w:t>22-</w:t>
            </w:r>
            <w:r>
              <w:rPr>
                <w:rFonts w:hint="eastAsia"/>
                <w:b w:val="0"/>
                <w:bCs/>
              </w:rPr>
              <w:t>1</w:t>
            </w:r>
          </w:p>
        </w:tc>
        <w:tc>
          <w:tcPr>
            <w:tcW w:w="798" w:type="pct"/>
            <w:shd w:val="clear" w:color="auto" w:fill="auto"/>
          </w:tcPr>
          <w:p>
            <w:pPr>
              <w:pStyle w:val="63"/>
              <w:jc w:val="left"/>
              <w:rPr>
                <w:b w:val="0"/>
                <w:bCs/>
              </w:rPr>
            </w:pPr>
            <w:r>
              <w:rPr>
                <w:b w:val="0"/>
                <w:bCs/>
              </w:rPr>
              <w:t>Indicating supported option for UL Tx switching for inter-band UL CA</w:t>
            </w:r>
          </w:p>
        </w:tc>
        <w:tc>
          <w:tcPr>
            <w:tcW w:w="3261" w:type="pct"/>
            <w:shd w:val="clear" w:color="auto" w:fill="auto"/>
          </w:tcPr>
          <w:p>
            <w:pPr>
              <w:pStyle w:val="65"/>
              <w:rPr>
                <w:bCs/>
              </w:rPr>
            </w:pPr>
            <w:r>
              <w:rPr>
                <w:bCs/>
              </w:rPr>
              <w:t>Indicating supported option for UL Tx switching for inter-band UL CA</w:t>
            </w:r>
          </w:p>
          <w:p>
            <w:pPr>
              <w:pStyle w:val="63"/>
              <w:numPr>
                <w:ilvl w:val="0"/>
                <w:numId w:val="11"/>
              </w:numPr>
              <w:jc w:val="left"/>
              <w:rPr>
                <w:b w:val="0"/>
                <w:bCs/>
              </w:rPr>
            </w:pPr>
            <w:r>
              <w:rPr>
                <w:b w:val="0"/>
                <w:bCs/>
                <w:lang w:eastAsia="zh-CN"/>
              </w:rPr>
              <w:t>Candidate values set is {option1, option2, both option 1 and option 2}</w:t>
            </w:r>
          </w:p>
        </w:tc>
      </w:tr>
    </w:tbl>
    <w:p>
      <w:pPr>
        <w:rPr>
          <w:lang w:val="en-GB" w:eastAsia="zh-CN"/>
        </w:rPr>
      </w:pPr>
    </w:p>
    <w:p>
      <w:pPr>
        <w:rPr>
          <w:lang w:val="en-GB" w:eastAsia="zh-CN"/>
        </w:rPr>
      </w:pPr>
      <w:r>
        <w:rPr>
          <w:rFonts w:hint="eastAsia"/>
          <w:lang w:val="en-GB" w:eastAsia="zh-CN"/>
        </w:rPr>
        <w:t>S</w:t>
      </w:r>
      <w:r>
        <w:rPr>
          <w:lang w:val="en-GB" w:eastAsia="zh-CN"/>
        </w:rPr>
        <w:t xml:space="preserve">imilarly, Rel-17 also specifies two different options for UL Tx switching for inter-band UL CA. From our perspective, it is not appropriate to always require UE to support the same option for Rel-16 UL Tx switching and Rel-17 UL Tx switching for iner-band UL CA. For example, UE may support “both Option1 and Option2” for Rel-16 1Tx-2Tx UL Tx switching, but it may only support “Option1” for Rel-17 UL Tx switching, </w:t>
      </w:r>
    </w:p>
    <w:p>
      <w:pPr>
        <w:rPr>
          <w:lang w:val="en-GB" w:eastAsia="zh-CN"/>
        </w:rPr>
      </w:pPr>
      <w:r>
        <w:rPr>
          <w:lang w:val="en-GB" w:eastAsia="zh-CN"/>
        </w:rPr>
        <w:t xml:space="preserve">Rel-17 UL Tx switching is enhanced from two perspectives, 1) from 1Tx-2Tx to 2Tx-2Tx switching; 2) from 2-carrier case to 3-carrier case switching. It may be ok to support the same option for 2-carrier case and 3-carrier case. But different options should be allowed for 1Tx-2Tx switching and 2Tx-2Tx switching. </w:t>
      </w:r>
    </w:p>
    <w:p>
      <w:pPr>
        <w:rPr>
          <w:lang w:val="en-GB" w:eastAsia="zh-CN"/>
        </w:rPr>
      </w:pPr>
      <w:r>
        <w:rPr>
          <w:lang w:val="en-GB" w:eastAsia="zh-CN"/>
        </w:rPr>
        <w:t>In RAN1#106b-e discussion, companies discussed the necessity of whether such a UE capability is needed. From our perspective, the UE capability is needed for the following reasons.</w:t>
      </w:r>
    </w:p>
    <w:p>
      <w:pPr>
        <w:ind w:left="200" w:leftChars="100"/>
        <w:rPr>
          <w:lang w:val="en-GB" w:eastAsia="zh-CN"/>
        </w:rPr>
      </w:pPr>
      <w:r>
        <w:rPr>
          <w:lang w:val="en-GB" w:eastAsia="zh-CN"/>
        </w:rPr>
        <w:t>1. Regarding the UE implementation complexity, Rel-16 UE only needs to support switching between two cases and only one Tx antenna is capable of switching between these two carriers. While Rel-17 UE needs to support switching between three cases and two Tx antennas are capable of switching between these two carriers. It is clear that there is additional UE implementation complexity for Rel-17 UL Tx switching on top of Rel-16.</w:t>
      </w:r>
    </w:p>
    <w:p>
      <w:pPr>
        <w:ind w:left="200" w:leftChars="100"/>
        <w:rPr>
          <w:lang w:val="en-GB" w:eastAsia="zh-CN"/>
        </w:rPr>
      </w:pPr>
      <w:r>
        <w:rPr>
          <w:lang w:val="en-GB" w:eastAsia="zh-CN"/>
        </w:rPr>
        <w:t>2. Regarding the relationship between FG22-1, our understanding is the following.</w:t>
      </w:r>
    </w:p>
    <w:p>
      <w:pPr>
        <w:pStyle w:val="114"/>
        <w:numPr>
          <w:ilvl w:val="0"/>
          <w:numId w:val="12"/>
        </w:numPr>
        <w:ind w:left="488" w:leftChars="244"/>
        <w:rPr>
          <w:lang w:eastAsia="zh-CN"/>
        </w:rPr>
      </w:pPr>
      <w:r>
        <w:rPr>
          <w:lang w:eastAsia="zh-CN"/>
        </w:rPr>
        <w:t>If UE supports Option1 for FG 37-1, the UE also needs to at least support Option1 for FG 22-1, UE may also support Option2 for FG22-1;</w:t>
      </w:r>
    </w:p>
    <w:p>
      <w:pPr>
        <w:pStyle w:val="114"/>
        <w:numPr>
          <w:ilvl w:val="0"/>
          <w:numId w:val="12"/>
        </w:numPr>
        <w:ind w:left="488" w:leftChars="244"/>
        <w:rPr>
          <w:lang w:eastAsia="zh-CN"/>
        </w:rPr>
      </w:pPr>
      <w:r>
        <w:rPr>
          <w:lang w:eastAsia="zh-CN"/>
        </w:rPr>
        <w:t>If UE supports Option2 for FG 37-1, the UE also needs to at least support Option2 for FG 22-1, UE may also support Option1 for FG22-1;</w:t>
      </w:r>
    </w:p>
    <w:p>
      <w:pPr>
        <w:pStyle w:val="114"/>
        <w:numPr>
          <w:ilvl w:val="0"/>
          <w:numId w:val="12"/>
        </w:numPr>
        <w:ind w:left="488" w:leftChars="244"/>
        <w:rPr>
          <w:lang w:eastAsia="zh-CN"/>
        </w:rPr>
      </w:pPr>
      <w:r>
        <w:rPr>
          <w:lang w:eastAsia="zh-CN"/>
        </w:rPr>
        <w:t>If UE supports both Option1 and Option2 for FG 37-1, the UE also needs to support both Option1 and Option2 for FG 22-1;</w:t>
      </w:r>
    </w:p>
    <w:p>
      <w:pPr>
        <w:rPr>
          <w:lang w:val="en-GB" w:eastAsia="zh-CN"/>
        </w:rPr>
      </w:pPr>
    </w:p>
    <w:p>
      <w:pPr>
        <w:rPr>
          <w:lang w:val="en-GB" w:eastAsia="zh-CN"/>
        </w:rPr>
      </w:pPr>
      <w:r>
        <w:rPr>
          <w:lang w:val="en-GB" w:eastAsia="zh-CN"/>
        </w:rPr>
        <w:t>Thus, we propose the following proposal, which is also in line with what been discussed in RAN1#106b-e meeting.</w:t>
      </w:r>
    </w:p>
    <w:p>
      <w:pPr>
        <w:rPr>
          <w:lang w:val="en-GB" w:eastAsia="zh-CN"/>
        </w:rPr>
      </w:pPr>
      <w:r>
        <w:rPr>
          <w:b/>
          <w:i/>
          <w:lang w:val="en-GB" w:eastAsia="zh-CN"/>
        </w:rPr>
        <w:t>Proposal 1</w:t>
      </w:r>
      <w:r>
        <w:rPr>
          <w:i/>
          <w:lang w:val="en-GB" w:eastAsia="zh-CN"/>
        </w:rPr>
        <w:t>: Introduce the following UE feature for Rel-17 2Tx-2Tx UL Tx switching</w:t>
      </w:r>
      <w:r>
        <w:rPr>
          <w:i/>
        </w:rPr>
        <w:t xml:space="preserve"> </w:t>
      </w:r>
      <w:r>
        <w:rPr>
          <w:i/>
          <w:lang w:val="en-GB" w:eastAsia="zh-CN"/>
        </w:rPr>
        <w:t>for inter-band UL CA.</w:t>
      </w:r>
    </w:p>
    <w:p>
      <w:pPr>
        <w:rPr>
          <w:lang w:val="en-GB" w:eastAsia="zh-CN"/>
        </w:rPr>
      </w:pPr>
    </w:p>
    <w:p>
      <w:pPr>
        <w:rPr>
          <w:lang w:val="en-GB" w:eastAsia="zh-CN"/>
        </w:rPr>
        <w:sectPr>
          <w:footerReference r:id="rId4" w:type="default"/>
          <w:headerReference r:id="rId3" w:type="even"/>
          <w:footerReference r:id="rId5" w:type="even"/>
          <w:footnotePr>
            <w:numRestart w:val="eachSect"/>
          </w:footnotePr>
          <w:pgSz w:w="11906" w:h="16838"/>
          <w:pgMar w:top="1418" w:right="1134" w:bottom="1080" w:left="1134" w:header="680" w:footer="567" w:gutter="0"/>
          <w:cols w:space="720" w:num="1"/>
          <w:docGrid w:linePitch="272" w:charSpace="0"/>
        </w:sectPr>
      </w:pP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88"/>
        <w:gridCol w:w="830"/>
        <w:gridCol w:w="2244"/>
        <w:gridCol w:w="585"/>
        <w:gridCol w:w="487"/>
        <w:gridCol w:w="781"/>
        <w:gridCol w:w="585"/>
        <w:gridCol w:w="1165"/>
        <w:gridCol w:w="390"/>
        <w:gridCol w:w="390"/>
        <w:gridCol w:w="682"/>
        <w:gridCol w:w="292"/>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 xml:space="preserve"> 3</w:t>
            </w:r>
            <w:r>
              <w:rPr>
                <w:rFonts w:hint="eastAsia" w:ascii="Arial" w:hAnsi="Arial" w:cs="Arial"/>
                <w:sz w:val="18"/>
                <w:szCs w:val="18"/>
                <w:lang w:val="en-GB" w:eastAsia="zh-CN"/>
              </w:rPr>
              <w:t>7</w:t>
            </w:r>
            <w:r>
              <w:rPr>
                <w:rFonts w:ascii="Arial" w:hAnsi="Arial" w:cs="Arial"/>
                <w:sz w:val="18"/>
                <w:szCs w:val="18"/>
                <w:lang w:val="en-GB" w:eastAsia="zh-CN"/>
              </w:rPr>
              <w:t>. [NR_RF_FR1_enh]</w:t>
            </w:r>
          </w:p>
        </w:tc>
        <w:tc>
          <w:tcPr>
            <w:tcW w:w="197"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37-1</w:t>
            </w:r>
          </w:p>
        </w:tc>
        <w:tc>
          <w:tcPr>
            <w:tcW w:w="42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Indicating supported option for UL Tx switching for 2Tx-2Tx inter-band UL CA</w:t>
            </w:r>
          </w:p>
        </w:tc>
        <w:tc>
          <w:tcPr>
            <w:tcW w:w="1139" w:type="pct"/>
            <w:tcBorders>
              <w:top w:val="single" w:color="auto" w:sz="4" w:space="0"/>
              <w:left w:val="single" w:color="auto" w:sz="4" w:space="0"/>
              <w:bottom w:val="single" w:color="auto" w:sz="4" w:space="0"/>
              <w:right w:val="single" w:color="auto" w:sz="4" w:space="0"/>
            </w:tcBorders>
          </w:tcPr>
          <w:p>
            <w:pPr>
              <w:pStyle w:val="65"/>
              <w:rPr>
                <w:rFonts w:cs="Arial"/>
                <w:szCs w:val="18"/>
                <w:lang w:val="en-GB" w:eastAsia="zh-CN"/>
              </w:rPr>
            </w:pPr>
            <w:r>
              <w:rPr>
                <w:rFonts w:cs="Arial"/>
                <w:szCs w:val="18"/>
                <w:lang w:val="en-GB" w:eastAsia="zh-CN"/>
              </w:rPr>
              <w:t>Indicating supported option for 2Tx-2Tx UL Tx switching for inter-band UL CA</w:t>
            </w:r>
          </w:p>
          <w:p>
            <w:pPr>
              <w:pStyle w:val="114"/>
              <w:numPr>
                <w:ilvl w:val="0"/>
                <w:numId w:val="13"/>
              </w:numPr>
              <w:snapToGrid w:val="0"/>
              <w:spacing w:after="0"/>
              <w:contextualSpacing/>
              <w:jc w:val="left"/>
              <w:rPr>
                <w:rFonts w:ascii="Arial" w:hAnsi="Arial" w:cs="Arial"/>
                <w:sz w:val="18"/>
                <w:szCs w:val="18"/>
                <w:lang w:eastAsia="zh-CN"/>
              </w:rPr>
            </w:pPr>
            <w:r>
              <w:rPr>
                <w:rFonts w:ascii="Arial" w:hAnsi="Arial" w:cs="Arial"/>
                <w:sz w:val="18"/>
                <w:szCs w:val="18"/>
                <w:lang w:eastAsia="zh-CN"/>
              </w:rPr>
              <w:t>Candidate values set is {option1, option2, both option 1 and option 2}</w:t>
            </w:r>
          </w:p>
        </w:tc>
        <w:tc>
          <w:tcPr>
            <w:tcW w:w="297"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F</w:t>
            </w:r>
            <w:r>
              <w:rPr>
                <w:rFonts w:ascii="Arial" w:hAnsi="Arial" w:cs="Arial"/>
                <w:sz w:val="18"/>
                <w:szCs w:val="18"/>
                <w:lang w:val="en-GB" w:eastAsia="zh-CN"/>
              </w:rPr>
              <w:t>FS</w:t>
            </w:r>
          </w:p>
        </w:tc>
        <w:tc>
          <w:tcPr>
            <w:tcW w:w="247"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Y</w:t>
            </w:r>
            <w:r>
              <w:rPr>
                <w:rFonts w:ascii="Arial" w:hAnsi="Arial" w:cs="Arial"/>
                <w:sz w:val="18"/>
                <w:szCs w:val="18"/>
                <w:lang w:val="en-GB" w:eastAsia="zh-CN"/>
              </w:rPr>
              <w:t>es</w:t>
            </w:r>
          </w:p>
        </w:tc>
        <w:tc>
          <w:tcPr>
            <w:tcW w:w="396"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297"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P</w:t>
            </w:r>
            <w:r>
              <w:rPr>
                <w:rFonts w:ascii="Arial" w:hAnsi="Arial" w:cs="Arial"/>
                <w:sz w:val="18"/>
                <w:szCs w:val="18"/>
                <w:lang w:val="en-GB" w:eastAsia="zh-CN"/>
              </w:rPr>
              <w:t>er BC</w:t>
            </w:r>
          </w:p>
        </w:tc>
        <w:tc>
          <w:tcPr>
            <w:tcW w:w="19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19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346"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148"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rPr>
            </w:pPr>
          </w:p>
        </w:tc>
        <w:tc>
          <w:tcPr>
            <w:tcW w:w="254" w:type="pc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pPr>
        <w:rPr>
          <w:lang w:val="en-GB" w:eastAsia="zh-CN"/>
        </w:rPr>
      </w:pPr>
      <w:r>
        <w:rPr>
          <w:rFonts w:hint="eastAsia"/>
          <w:lang w:val="en-GB" w:eastAsia="zh-CN"/>
        </w:rPr>
        <w:t>N</w:t>
      </w:r>
      <w:r>
        <w:rPr>
          <w:lang w:val="en-GB" w:eastAsia="zh-CN"/>
        </w:rPr>
        <w:t>ote:</w:t>
      </w:r>
    </w:p>
    <w:p>
      <w:pPr>
        <w:pStyle w:val="114"/>
        <w:numPr>
          <w:ilvl w:val="0"/>
          <w:numId w:val="12"/>
        </w:numPr>
        <w:ind w:left="488" w:leftChars="244"/>
        <w:rPr>
          <w:lang w:eastAsia="zh-CN"/>
        </w:rPr>
      </w:pPr>
      <w:r>
        <w:rPr>
          <w:lang w:eastAsia="zh-CN"/>
        </w:rPr>
        <w:t>If UE supports Option1 for FG 37-1, the UE also needs to at least support Option1 for FG 22-1, UE may also support Option2 for FG22-1;</w:t>
      </w:r>
    </w:p>
    <w:p>
      <w:pPr>
        <w:pStyle w:val="114"/>
        <w:numPr>
          <w:ilvl w:val="0"/>
          <w:numId w:val="12"/>
        </w:numPr>
        <w:ind w:left="488" w:leftChars="244"/>
        <w:rPr>
          <w:lang w:eastAsia="zh-CN"/>
        </w:rPr>
      </w:pPr>
      <w:r>
        <w:rPr>
          <w:lang w:eastAsia="zh-CN"/>
        </w:rPr>
        <w:t>If UE supports Option2 for FG 37-1, the UE also needs to at least support Option2 for FG 22-1, UE may also support Option1 for FG22-1;</w:t>
      </w:r>
    </w:p>
    <w:p>
      <w:pPr>
        <w:pStyle w:val="114"/>
        <w:numPr>
          <w:ilvl w:val="0"/>
          <w:numId w:val="12"/>
        </w:numPr>
        <w:ind w:left="488" w:leftChars="244"/>
        <w:rPr>
          <w:lang w:eastAsia="zh-CN"/>
        </w:rPr>
      </w:pPr>
      <w:r>
        <w:rPr>
          <w:lang w:eastAsia="zh-CN"/>
        </w:rPr>
        <w:t>If UE supports both Option1 and Option2 for FG 37-1, the UE also needs to support both Option1 and Option2 for FG 22-1;</w:t>
      </w:r>
    </w:p>
    <w:p>
      <w:pPr>
        <w:rPr>
          <w:lang w:val="en-GB" w:eastAsia="zh-CN"/>
        </w:rPr>
      </w:pPr>
    </w:p>
    <w:p>
      <w:pPr>
        <w:pStyle w:val="3"/>
        <w:rPr>
          <w:lang w:eastAsia="zh-CN"/>
        </w:rPr>
      </w:pPr>
      <w:r>
        <w:rPr>
          <w:rFonts w:hint="eastAsia"/>
          <w:lang w:eastAsia="zh-CN"/>
        </w:rPr>
        <w:t>SRS</w:t>
      </w:r>
      <w:r>
        <w:rPr>
          <w:lang w:eastAsia="zh-CN"/>
        </w:rPr>
        <w:t xml:space="preserve"> carrier switching</w:t>
      </w:r>
    </w:p>
    <w:p>
      <w:pPr>
        <w:snapToGrid w:val="0"/>
        <w:spacing w:before="120" w:beforeLines="50" w:after="120" w:afterLines="50"/>
        <w:rPr>
          <w:lang w:eastAsia="zh-CN"/>
        </w:rPr>
      </w:pPr>
      <w:r>
        <w:rPr>
          <w:lang w:eastAsia="zh-CN"/>
        </w:rPr>
        <w:t xml:space="preserve">Priority rule issues of </w:t>
      </w:r>
      <w:r>
        <w:rPr>
          <w:rFonts w:hint="eastAsia"/>
          <w:lang w:eastAsia="zh-CN"/>
        </w:rPr>
        <w:t>S</w:t>
      </w:r>
      <w:r>
        <w:rPr>
          <w:lang w:eastAsia="zh-CN"/>
        </w:rPr>
        <w:t xml:space="preserve">RS carrier switching has been discussed in several meetings before RAN1#107-e (in agenda 7.1 Maintenance of Release 15 NR). It was common understanding that </w:t>
      </w:r>
      <w:r>
        <w:rPr>
          <w:rFonts w:eastAsiaTheme="minorEastAsia"/>
        </w:rPr>
        <w:t xml:space="preserve">the prioritization rules are at least used between SRS transmission in </w:t>
      </w:r>
      <w:r>
        <w:rPr>
          <w:rFonts w:hint="eastAsia" w:eastAsiaTheme="minorEastAsia"/>
        </w:rPr>
        <w:t xml:space="preserve">target carrier </w:t>
      </w:r>
      <w:r>
        <w:rPr>
          <w:rFonts w:eastAsiaTheme="minorEastAsia"/>
          <w:i/>
        </w:rPr>
        <w:t>c</w:t>
      </w:r>
      <w:r>
        <w:rPr>
          <w:rFonts w:eastAsiaTheme="minorEastAsia"/>
          <w:i/>
          <w:vertAlign w:val="subscript"/>
        </w:rPr>
        <w:t>1</w:t>
      </w:r>
      <w:r>
        <w:rPr>
          <w:rFonts w:eastAsiaTheme="minorEastAsia"/>
        </w:rPr>
        <w:t xml:space="preserve"> and other UL signal(s) in a </w:t>
      </w:r>
      <w:r>
        <w:rPr>
          <w:rFonts w:hint="eastAsia" w:eastAsiaTheme="minorEastAsia"/>
        </w:rPr>
        <w:t>carrier</w:t>
      </w:r>
      <w:r>
        <w:rPr>
          <w:rFonts w:eastAsiaTheme="minorEastAsia"/>
        </w:rPr>
        <w:t xml:space="preserve"> </w:t>
      </w:r>
      <w:r>
        <w:rPr>
          <w:rFonts w:eastAsiaTheme="minorEastAsia"/>
          <w:i/>
        </w:rPr>
        <w:t>c</w:t>
      </w:r>
      <w:r>
        <w:rPr>
          <w:rFonts w:eastAsiaTheme="minorEastAsia"/>
          <w:i/>
          <w:vertAlign w:val="subscript"/>
        </w:rPr>
        <w:t xml:space="preserve">2 </w:t>
      </w:r>
      <w:r>
        <w:rPr>
          <w:rFonts w:eastAsiaTheme="minorEastAsia"/>
        </w:rPr>
        <w:t xml:space="preserve">where </w:t>
      </w:r>
      <w:r>
        <w:rPr>
          <w:rFonts w:eastAsiaTheme="minorEastAsia"/>
          <w:i/>
        </w:rPr>
        <w:t>c</w:t>
      </w:r>
      <w:r>
        <w:rPr>
          <w:rFonts w:eastAsiaTheme="minorEastAsia"/>
          <w:i/>
          <w:vertAlign w:val="subscript"/>
        </w:rPr>
        <w:t xml:space="preserve">2 </w:t>
      </w:r>
      <w:r>
        <w:rPr>
          <w:rFonts w:hint="eastAsia" w:eastAsiaTheme="minorEastAsia"/>
          <w:i/>
          <w:vertAlign w:val="subscript"/>
        </w:rPr>
        <w:t xml:space="preserve"> </w:t>
      </w:r>
      <w:r>
        <w:rPr>
          <w:rFonts w:eastAsiaTheme="minorEastAsia"/>
        </w:rPr>
        <w:t xml:space="preserve">is any one </w:t>
      </w:r>
      <w:r>
        <w:rPr>
          <w:rFonts w:hint="eastAsia" w:eastAsiaTheme="minorEastAsia"/>
        </w:rPr>
        <w:t>carrier</w:t>
      </w:r>
      <w:r>
        <w:rPr>
          <w:rFonts w:eastAsiaTheme="minorEastAsia"/>
        </w:rPr>
        <w:t xml:space="preserve"> which is in the same band with </w:t>
      </w:r>
      <w:r>
        <w:rPr>
          <w:iCs/>
          <w:color w:val="000000"/>
        </w:rPr>
        <w:t>switching from</w:t>
      </w:r>
      <w:r>
        <w:rPr>
          <w:rFonts w:hint="eastAsia"/>
          <w:iCs/>
          <w:color w:val="000000"/>
        </w:rPr>
        <w:t xml:space="preserve"> (or called source carrier)</w:t>
      </w:r>
      <w:r>
        <w:rPr>
          <w:iCs/>
          <w:color w:val="000000"/>
        </w:rPr>
        <w:t xml:space="preserve"> carrier</w:t>
      </w:r>
      <w:r>
        <w:rPr>
          <w:i/>
          <w:iCs/>
          <w:color w:val="000000"/>
        </w:rPr>
        <w:t xml:space="preserve"> c</w:t>
      </w:r>
      <w:r>
        <w:rPr>
          <w:i/>
          <w:iCs/>
          <w:color w:val="000000"/>
          <w:vertAlign w:val="subscript"/>
        </w:rPr>
        <w:t>s</w:t>
      </w:r>
      <w:r>
        <w:t xml:space="preserve">. However, it is still unclear whether </w:t>
      </w:r>
      <w:r>
        <w:rPr>
          <w:rFonts w:eastAsiaTheme="minorEastAsia"/>
        </w:rPr>
        <w:t xml:space="preserve">the prioritization rules can be used between SRS transmission in </w:t>
      </w:r>
      <w:r>
        <w:rPr>
          <w:rFonts w:hint="eastAsia" w:eastAsiaTheme="minorEastAsia"/>
        </w:rPr>
        <w:t xml:space="preserve">target carrier </w:t>
      </w:r>
      <w:r>
        <w:rPr>
          <w:rFonts w:eastAsiaTheme="minorEastAsia"/>
          <w:i/>
        </w:rPr>
        <w:t>c</w:t>
      </w:r>
      <w:r>
        <w:rPr>
          <w:rFonts w:eastAsiaTheme="minorEastAsia"/>
          <w:i/>
          <w:vertAlign w:val="subscript"/>
        </w:rPr>
        <w:t>1</w:t>
      </w:r>
      <w:r>
        <w:rPr>
          <w:rFonts w:eastAsiaTheme="minorEastAsia"/>
        </w:rPr>
        <w:t xml:space="preserve"> and another </w:t>
      </w:r>
      <w:r>
        <w:rPr>
          <w:rFonts w:hint="eastAsia" w:eastAsiaTheme="minorEastAsia"/>
        </w:rPr>
        <w:t>carrier</w:t>
      </w:r>
      <w:r>
        <w:rPr>
          <w:rFonts w:eastAsiaTheme="minorEastAsia"/>
        </w:rPr>
        <w:t xml:space="preserve"> </w:t>
      </w:r>
      <w:r>
        <w:rPr>
          <w:rFonts w:eastAsiaTheme="minorEastAsia"/>
          <w:i/>
        </w:rPr>
        <w:t>c</w:t>
      </w:r>
      <w:r>
        <w:rPr>
          <w:rFonts w:eastAsiaTheme="minorEastAsia"/>
          <w:i/>
          <w:vertAlign w:val="subscript"/>
        </w:rPr>
        <w:t xml:space="preserve">3 </w:t>
      </w:r>
      <w:r>
        <w:rPr>
          <w:rFonts w:eastAsiaTheme="minorEastAsia"/>
        </w:rPr>
        <w:t xml:space="preserve">where </w:t>
      </w:r>
      <w:r>
        <w:rPr>
          <w:rFonts w:eastAsiaTheme="minorEastAsia"/>
          <w:i/>
        </w:rPr>
        <w:t>c</w:t>
      </w:r>
      <w:r>
        <w:rPr>
          <w:rFonts w:eastAsiaTheme="minorEastAsia"/>
          <w:i/>
          <w:vertAlign w:val="subscript"/>
        </w:rPr>
        <w:t xml:space="preserve">3 </w:t>
      </w:r>
      <w:r>
        <w:rPr>
          <w:rFonts w:hint="eastAsia" w:eastAsiaTheme="minorEastAsia"/>
          <w:i/>
          <w:vertAlign w:val="subscript"/>
        </w:rPr>
        <w:t xml:space="preserve"> </w:t>
      </w:r>
      <w:r>
        <w:rPr>
          <w:rFonts w:eastAsiaTheme="minorEastAsia"/>
        </w:rPr>
        <w:t xml:space="preserve">is from a different band with </w:t>
      </w:r>
      <w:r>
        <w:rPr>
          <w:iCs/>
          <w:color w:val="000000"/>
        </w:rPr>
        <w:t>switching from</w:t>
      </w:r>
      <w:r>
        <w:rPr>
          <w:rFonts w:hint="eastAsia"/>
          <w:iCs/>
          <w:color w:val="000000"/>
        </w:rPr>
        <w:t xml:space="preserve"> (source carrier)</w:t>
      </w:r>
      <w:r>
        <w:rPr>
          <w:iCs/>
          <w:color w:val="000000"/>
        </w:rPr>
        <w:t xml:space="preserve"> carrier</w:t>
      </w:r>
      <w:r>
        <w:rPr>
          <w:i/>
          <w:iCs/>
          <w:color w:val="000000"/>
        </w:rPr>
        <w:t xml:space="preserve"> c</w:t>
      </w:r>
      <w:r>
        <w:rPr>
          <w:i/>
          <w:iCs/>
          <w:color w:val="000000"/>
          <w:vertAlign w:val="subscript"/>
        </w:rPr>
        <w:t>s</w:t>
      </w:r>
      <w:r>
        <w:t xml:space="preserve"> for inter-band CA case.</w:t>
      </w:r>
    </w:p>
    <w:p>
      <w:pPr>
        <w:snapToGrid w:val="0"/>
        <w:spacing w:before="120" w:beforeLines="50" w:after="120" w:afterLines="50"/>
      </w:pPr>
      <w:r>
        <w:rPr>
          <w:rFonts w:hint="eastAsia"/>
          <w:lang w:eastAsia="zh-CN"/>
        </w:rPr>
        <w:t>I</w:t>
      </w:r>
      <w:r>
        <w:rPr>
          <w:lang w:eastAsia="zh-CN"/>
        </w:rPr>
        <w:t xml:space="preserve">n RAN1#107-e meeting, the issues on </w:t>
      </w:r>
      <w:r>
        <w:t xml:space="preserve">SRS carrier switching priority rules were discussed again and the following conclusion is made.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napToGrid w:val="0"/>
              <w:spacing w:before="0" w:after="0" w:line="240" w:lineRule="auto"/>
              <w:rPr>
                <w:rFonts w:ascii="Times New Roman" w:hAnsi="Times New Roman" w:eastAsia="Gulim"/>
                <w:u w:val="single"/>
              </w:rPr>
            </w:pPr>
            <w:r>
              <w:rPr>
                <w:rFonts w:ascii="Times New Roman" w:hAnsi="Times New Roman"/>
                <w:u w:val="single"/>
              </w:rPr>
              <w:t xml:space="preserve">Conclusion </w:t>
            </w:r>
            <w:r>
              <w:rPr>
                <w:rStyle w:val="164"/>
                <w:b w:val="0"/>
                <w:u w:val="single"/>
              </w:rPr>
              <w:t>in RAN1#107-e</w:t>
            </w:r>
          </w:p>
          <w:p>
            <w:pPr>
              <w:snapToGrid w:val="0"/>
              <w:spacing w:before="0" w:after="0" w:line="240" w:lineRule="auto"/>
              <w:rPr>
                <w:rFonts w:ascii="Times New Roman" w:hAnsi="Times New Roman" w:eastAsia="Batang"/>
              </w:rPr>
            </w:pPr>
            <w:r>
              <w:rPr>
                <w:rFonts w:ascii="Times New Roman" w:hAnsi="Times New Roman"/>
              </w:rPr>
              <w:t>Regarding SRS carrier switching priority rules:</w:t>
            </w:r>
          </w:p>
          <w:p>
            <w:pPr>
              <w:pStyle w:val="165"/>
              <w:numPr>
                <w:ilvl w:val="0"/>
                <w:numId w:val="14"/>
              </w:numPr>
              <w:snapToGrid w:val="0"/>
              <w:spacing w:before="0" w:beforeAutospacing="0" w:after="0" w:line="240" w:lineRule="auto"/>
              <w:rPr>
                <w:rFonts w:ascii="Times New Roman" w:hAnsi="Times New Roman"/>
                <w:sz w:val="20"/>
                <w:szCs w:val="20"/>
              </w:rPr>
            </w:pPr>
            <w:r>
              <w:rPr>
                <w:rFonts w:ascii="Times New Roman" w:hAnsi="Times New Roman"/>
                <w:sz w:val="20"/>
                <w:szCs w:val="20"/>
              </w:rPr>
              <w:t>For Rel-16, it is concluded that no modification in specifications should be made to clarify the current UE behaviour or to introduce a new UE behaviour regarding SRS carrier switching priority rules.</w:t>
            </w:r>
          </w:p>
          <w:p>
            <w:pPr>
              <w:pStyle w:val="165"/>
              <w:numPr>
                <w:ilvl w:val="0"/>
                <w:numId w:val="14"/>
              </w:numPr>
              <w:snapToGrid w:val="0"/>
              <w:spacing w:before="0" w:beforeAutospacing="0" w:after="0" w:line="240" w:lineRule="auto"/>
              <w:rPr>
                <w:rFonts w:ascii="Times New Roman" w:hAnsi="Times New Roman"/>
                <w:sz w:val="20"/>
                <w:szCs w:val="20"/>
              </w:rPr>
            </w:pPr>
            <w:r>
              <w:rPr>
                <w:rFonts w:ascii="Times New Roman" w:hAnsi="Times New Roman"/>
                <w:sz w:val="20"/>
                <w:szCs w:val="20"/>
              </w:rPr>
              <w:t xml:space="preserve">For releases later than Rel-16, it is concluded to consider introducing a new UE capability for indicating simultaneous transmission while switching, and/or clarify the UE behaviour in the case of intra-band CA. </w:t>
            </w:r>
          </w:p>
          <w:p>
            <w:pPr>
              <w:pStyle w:val="165"/>
              <w:numPr>
                <w:ilvl w:val="1"/>
                <w:numId w:val="14"/>
              </w:numPr>
              <w:snapToGrid w:val="0"/>
              <w:spacing w:before="0" w:beforeAutospacing="0" w:after="0" w:line="240" w:lineRule="auto"/>
              <w:rPr>
                <w:rFonts w:ascii="New York" w:hAnsi="New York"/>
                <w:sz w:val="20"/>
                <w:szCs w:val="20"/>
              </w:rPr>
            </w:pPr>
            <w:r>
              <w:rPr>
                <w:rFonts w:ascii="Times New Roman" w:hAnsi="Times New Roman"/>
                <w:sz w:val="20"/>
                <w:szCs w:val="20"/>
              </w:rPr>
              <w:t xml:space="preserve">Note: If introduced, the new UE capability should always assume no simultaneous transmission while SRS carrier switching for the bands in the band combinations that are signalled to not support simultaneous transmission within </w:t>
            </w:r>
            <w:r>
              <w:rPr>
                <w:rFonts w:ascii="Times New Roman" w:hAnsi="Times New Roman"/>
                <w:i/>
                <w:iCs/>
                <w:sz w:val="20"/>
                <w:szCs w:val="20"/>
              </w:rPr>
              <w:t>BandCombinationList-UplinkTxSwitch</w:t>
            </w:r>
            <w:r>
              <w:rPr>
                <w:rFonts w:ascii="Times New Roman" w:hAnsi="Times New Roman"/>
                <w:sz w:val="20"/>
                <w:szCs w:val="20"/>
              </w:rPr>
              <w:t>.</w:t>
            </w:r>
          </w:p>
        </w:tc>
      </w:tr>
    </w:tbl>
    <w:p>
      <w:pPr>
        <w:snapToGrid w:val="0"/>
        <w:spacing w:before="120" w:beforeLines="50" w:after="120" w:afterLines="50"/>
        <w:rPr>
          <w:iCs/>
          <w:color w:val="000000"/>
        </w:rPr>
      </w:pPr>
      <w:r>
        <w:rPr>
          <w:iCs/>
          <w:color w:val="000000"/>
        </w:rPr>
        <w:t xml:space="preserve">Because modification for Rel-16 may cause backward compatible issues for both gNB and UE implementation, most companies suggested introducing a new UE capability for the release later than Rel-16. As Rel-17 UE feature is under discussion, we propose to introduce the new UE FG in Rel-17 to clarify the issues for inter-band CA case as soon as possible. </w:t>
      </w:r>
    </w:p>
    <w:p>
      <w:pPr>
        <w:snapToGrid w:val="0"/>
        <w:spacing w:before="120" w:beforeLines="50" w:after="120" w:afterLines="50"/>
        <w:rPr>
          <w:iCs/>
          <w:color w:val="000000"/>
          <w:lang w:eastAsia="zh-CN"/>
        </w:rPr>
      </w:pPr>
      <w:r>
        <w:rPr>
          <w:rFonts w:hint="eastAsia"/>
          <w:iCs/>
          <w:color w:val="000000"/>
          <w:lang w:eastAsia="zh-CN"/>
        </w:rPr>
        <w:t>S</w:t>
      </w:r>
      <w:r>
        <w:rPr>
          <w:iCs/>
          <w:color w:val="000000"/>
          <w:lang w:eastAsia="zh-CN"/>
        </w:rPr>
        <w:t xml:space="preserve">pecifically, the new Rel-17 UE FG should be reported per BandCombination to indicate if UL transmission in one band within a BandCombination impacts UL transmission in another band within the BandCombination. That is, within a BandCombination, if UL transmission in band </w:t>
      </w:r>
      <w:r>
        <w:rPr>
          <w:i/>
          <w:iCs/>
          <w:color w:val="000000"/>
          <w:lang w:eastAsia="zh-CN"/>
        </w:rPr>
        <w:t>a</w:t>
      </w:r>
      <w:r>
        <w:rPr>
          <w:iCs/>
          <w:color w:val="000000"/>
          <w:lang w:eastAsia="zh-CN"/>
        </w:rPr>
        <w:t xml:space="preserve"> impacts UL transmission in band </w:t>
      </w:r>
      <w:r>
        <w:rPr>
          <w:i/>
          <w:iCs/>
          <w:color w:val="000000"/>
          <w:lang w:eastAsia="zh-CN"/>
        </w:rPr>
        <w:t>b</w:t>
      </w:r>
      <w:r>
        <w:rPr>
          <w:iCs/>
          <w:color w:val="000000"/>
          <w:lang w:eastAsia="zh-CN"/>
        </w:rPr>
        <w:t xml:space="preserve">, carriers in the band </w:t>
      </w:r>
      <w:r>
        <w:rPr>
          <w:i/>
          <w:iCs/>
          <w:color w:val="000000"/>
          <w:lang w:eastAsia="zh-CN"/>
        </w:rPr>
        <w:t>a</w:t>
      </w:r>
      <w:r>
        <w:rPr>
          <w:iCs/>
          <w:color w:val="000000"/>
          <w:lang w:eastAsia="zh-CN"/>
        </w:rPr>
        <w:t xml:space="preserve"> and in the band </w:t>
      </w:r>
      <w:r>
        <w:rPr>
          <w:i/>
          <w:iCs/>
          <w:color w:val="000000"/>
          <w:lang w:eastAsia="zh-CN"/>
        </w:rPr>
        <w:t>b</w:t>
      </w:r>
      <w:r>
        <w:rPr>
          <w:iCs/>
          <w:color w:val="000000"/>
          <w:lang w:eastAsia="zh-CN"/>
        </w:rPr>
        <w:t xml:space="preserve"> should be always applied in the </w:t>
      </w:r>
      <w:r>
        <w:t xml:space="preserve">SRS carrier switching priority rules together. If the </w:t>
      </w:r>
      <w:r>
        <w:rPr>
          <w:iCs/>
          <w:color w:val="000000"/>
        </w:rPr>
        <w:t>switching from</w:t>
      </w:r>
      <w:r>
        <w:rPr>
          <w:rFonts w:hint="eastAsia"/>
          <w:iCs/>
          <w:color w:val="000000"/>
        </w:rPr>
        <w:t xml:space="preserve"> (source carrier)</w:t>
      </w:r>
      <w:r>
        <w:rPr>
          <w:iCs/>
          <w:color w:val="000000"/>
        </w:rPr>
        <w:t xml:space="preserve"> carrier</w:t>
      </w:r>
      <w:r>
        <w:rPr>
          <w:i/>
          <w:iCs/>
          <w:color w:val="000000"/>
        </w:rPr>
        <w:t xml:space="preserve"> c</w:t>
      </w:r>
      <w:r>
        <w:rPr>
          <w:i/>
          <w:iCs/>
          <w:color w:val="000000"/>
          <w:vertAlign w:val="subscript"/>
        </w:rPr>
        <w:t>s</w:t>
      </w:r>
      <w:r>
        <w:t xml:space="preserve"> in band </w:t>
      </w:r>
      <w:r>
        <w:rPr>
          <w:i/>
        </w:rPr>
        <w:t>a</w:t>
      </w:r>
      <w:r>
        <w:t xml:space="preserve"> (or </w:t>
      </w:r>
      <w:r>
        <w:rPr>
          <w:i/>
        </w:rPr>
        <w:t>b</w:t>
      </w:r>
      <w:r>
        <w:t xml:space="preserve">), the uplink carriers in band </w:t>
      </w:r>
      <w:r>
        <w:rPr>
          <w:i/>
        </w:rPr>
        <w:t>b</w:t>
      </w:r>
      <w:r>
        <w:t xml:space="preserve"> (or </w:t>
      </w:r>
      <w:r>
        <w:rPr>
          <w:i/>
        </w:rPr>
        <w:t>a</w:t>
      </w:r>
      <w:r>
        <w:t xml:space="preserve">) should also be used </w:t>
      </w:r>
      <w:r>
        <w:rPr>
          <w:iCs/>
          <w:color w:val="000000"/>
          <w:lang w:eastAsia="zh-CN"/>
        </w:rPr>
        <w:t xml:space="preserve">in the </w:t>
      </w:r>
      <w:r>
        <w:t xml:space="preserve">SRS carrier switching priority rules.  </w:t>
      </w:r>
    </w:p>
    <w:p>
      <w:pPr>
        <w:snapToGrid w:val="0"/>
        <w:spacing w:before="120" w:beforeLines="50" w:after="120" w:afterLines="50"/>
        <w:rPr>
          <w:iCs/>
          <w:color w:val="000000"/>
          <w:lang w:eastAsia="zh-CN"/>
        </w:rPr>
      </w:pPr>
      <w:r>
        <w:rPr>
          <w:rFonts w:hint="eastAsia"/>
          <w:iCs/>
          <w:color w:val="000000"/>
          <w:lang w:eastAsia="zh-CN"/>
        </w:rPr>
        <w:t>H</w:t>
      </w:r>
      <w:r>
        <w:rPr>
          <w:iCs/>
          <w:color w:val="000000"/>
          <w:lang w:eastAsia="zh-CN"/>
        </w:rPr>
        <w:t>ere is our suggestion,</w:t>
      </w:r>
    </w:p>
    <w:p>
      <w:pPr>
        <w:snapToGrid w:val="0"/>
        <w:spacing w:before="120" w:beforeLines="50" w:after="120" w:afterLines="50"/>
        <w:rPr>
          <w:i/>
          <w:iCs/>
          <w:color w:val="000000"/>
          <w:lang w:eastAsia="zh-CN"/>
        </w:rPr>
      </w:pPr>
      <w:r>
        <w:rPr>
          <w:b/>
          <w:i/>
          <w:iCs/>
          <w:color w:val="000000"/>
          <w:lang w:eastAsia="zh-CN"/>
        </w:rPr>
        <w:t xml:space="preserve">Proposal </w:t>
      </w:r>
      <w:r>
        <w:rPr>
          <w:rFonts w:hint="eastAsia"/>
          <w:b/>
          <w:i/>
          <w:iCs/>
          <w:color w:val="000000"/>
          <w:lang w:val="en-US" w:eastAsia="zh-CN"/>
        </w:rPr>
        <w:t>2</w:t>
      </w:r>
      <w:r>
        <w:rPr>
          <w:b/>
          <w:i/>
          <w:iCs/>
          <w:color w:val="000000"/>
          <w:lang w:eastAsia="zh-CN"/>
        </w:rPr>
        <w:t>:</w:t>
      </w:r>
      <w:r>
        <w:rPr>
          <w:i/>
          <w:iCs/>
          <w:color w:val="000000"/>
          <w:lang w:eastAsia="zh-CN"/>
        </w:rPr>
        <w:t xml:space="preserve"> Introduce a new Rel-17 UE FG to indicate if UL transmission in one band within a BandCombination impacts UL transmission in another band within the BandCombination for SRS carrier switching. </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n this contribution, we discuss and analyse remaining issues for other Rel-17 UE features.</w:t>
      </w:r>
    </w:p>
    <w:p>
      <w:pPr>
        <w:widowControl w:val="0"/>
        <w:rPr>
          <w:lang w:val="en-GB" w:eastAsia="zh-CN"/>
        </w:rPr>
      </w:pPr>
      <w:r>
        <w:rPr>
          <w:highlight w:val="cyan"/>
          <w:lang w:val="en-GB" w:eastAsia="zh-CN"/>
        </w:rPr>
        <w:t>Rel-17 UL Tx switching</w:t>
      </w:r>
    </w:p>
    <w:p>
      <w:pPr>
        <w:widowControl w:val="0"/>
        <w:rPr>
          <w:lang w:val="en-GB" w:eastAsia="zh-CN"/>
        </w:rPr>
      </w:pPr>
      <w:r>
        <w:rPr>
          <w:b/>
          <w:i/>
          <w:lang w:val="en-GB" w:eastAsia="zh-CN"/>
        </w:rPr>
        <w:t>Proposal 1</w:t>
      </w:r>
      <w:r>
        <w:rPr>
          <w:i/>
          <w:lang w:val="en-GB" w:eastAsia="zh-CN"/>
        </w:rPr>
        <w:t>: Introduce the following UE feature for Rel-17 2Tx-2Tx UL Tx switching</w:t>
      </w:r>
      <w:r>
        <w:rPr>
          <w:i/>
        </w:rPr>
        <w:t xml:space="preserve"> </w:t>
      </w:r>
      <w:r>
        <w:rPr>
          <w:i/>
          <w:lang w:val="en-GB" w:eastAsia="zh-CN"/>
        </w:rPr>
        <w:t>for inter-band UL CA.</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88"/>
        <w:gridCol w:w="830"/>
        <w:gridCol w:w="2244"/>
        <w:gridCol w:w="585"/>
        <w:gridCol w:w="487"/>
        <w:gridCol w:w="781"/>
        <w:gridCol w:w="585"/>
        <w:gridCol w:w="1165"/>
        <w:gridCol w:w="390"/>
        <w:gridCol w:w="390"/>
        <w:gridCol w:w="682"/>
        <w:gridCol w:w="292"/>
        <w:gridCol w:w="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71"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3</w:t>
            </w:r>
            <w:r>
              <w:rPr>
                <w:rFonts w:hint="eastAsia" w:ascii="Arial" w:hAnsi="Arial" w:cs="Arial"/>
                <w:sz w:val="18"/>
                <w:szCs w:val="18"/>
                <w:lang w:val="en-GB" w:eastAsia="zh-CN"/>
              </w:rPr>
              <w:t>7</w:t>
            </w:r>
            <w:r>
              <w:rPr>
                <w:rFonts w:ascii="Arial" w:hAnsi="Arial" w:cs="Arial"/>
                <w:sz w:val="18"/>
                <w:szCs w:val="18"/>
                <w:lang w:val="en-GB" w:eastAsia="zh-CN"/>
              </w:rPr>
              <w:t>. [NR_RF_FR1_enh]</w:t>
            </w:r>
          </w:p>
        </w:tc>
        <w:tc>
          <w:tcPr>
            <w:tcW w:w="197"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37-1</w:t>
            </w:r>
          </w:p>
        </w:tc>
        <w:tc>
          <w:tcPr>
            <w:tcW w:w="421"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Indicating supported option for UL Tx switching for 2Tx-2Tx inter-band UL CA</w:t>
            </w:r>
          </w:p>
        </w:tc>
        <w:tc>
          <w:tcPr>
            <w:tcW w:w="1139" w:type="pct"/>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val="en-GB" w:eastAsia="zh-CN"/>
              </w:rPr>
            </w:pPr>
            <w:r>
              <w:rPr>
                <w:rFonts w:cs="Arial"/>
                <w:szCs w:val="18"/>
                <w:lang w:val="en-GB" w:eastAsia="zh-CN"/>
              </w:rPr>
              <w:t>Indicating supported option for 2Tx-2Tx UL Tx switching for inter-band UL CA</w:t>
            </w:r>
          </w:p>
          <w:p>
            <w:pPr>
              <w:pStyle w:val="114"/>
              <w:widowControl w:val="0"/>
              <w:numPr>
                <w:ilvl w:val="0"/>
                <w:numId w:val="13"/>
              </w:numPr>
              <w:snapToGrid w:val="0"/>
              <w:spacing w:after="0"/>
              <w:contextualSpacing/>
              <w:jc w:val="left"/>
              <w:rPr>
                <w:rFonts w:ascii="Arial" w:hAnsi="Arial" w:cs="Arial"/>
                <w:sz w:val="18"/>
                <w:szCs w:val="18"/>
                <w:lang w:eastAsia="zh-CN"/>
              </w:rPr>
            </w:pPr>
            <w:r>
              <w:rPr>
                <w:rFonts w:ascii="Arial" w:hAnsi="Arial" w:cs="Arial"/>
                <w:sz w:val="18"/>
                <w:szCs w:val="18"/>
                <w:lang w:eastAsia="zh-CN"/>
              </w:rPr>
              <w:t>Candidate values set is {option1, option2, both option 1 and option 2}</w:t>
            </w:r>
          </w:p>
        </w:tc>
        <w:tc>
          <w:tcPr>
            <w:tcW w:w="297"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F</w:t>
            </w:r>
            <w:r>
              <w:rPr>
                <w:rFonts w:ascii="Arial" w:hAnsi="Arial" w:cs="Arial"/>
                <w:sz w:val="18"/>
                <w:szCs w:val="18"/>
                <w:lang w:val="en-GB" w:eastAsia="zh-CN"/>
              </w:rPr>
              <w:t>FS</w:t>
            </w:r>
          </w:p>
        </w:tc>
        <w:tc>
          <w:tcPr>
            <w:tcW w:w="247"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Y</w:t>
            </w:r>
            <w:r>
              <w:rPr>
                <w:rFonts w:ascii="Arial" w:hAnsi="Arial" w:cs="Arial"/>
                <w:sz w:val="18"/>
                <w:szCs w:val="18"/>
                <w:lang w:val="en-GB" w:eastAsia="zh-CN"/>
              </w:rPr>
              <w:t>es</w:t>
            </w:r>
          </w:p>
        </w:tc>
        <w:tc>
          <w:tcPr>
            <w:tcW w:w="396"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297"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p>
        </w:tc>
        <w:tc>
          <w:tcPr>
            <w:tcW w:w="591"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P</w:t>
            </w:r>
            <w:r>
              <w:rPr>
                <w:rFonts w:ascii="Arial" w:hAnsi="Arial" w:cs="Arial"/>
                <w:sz w:val="18"/>
                <w:szCs w:val="18"/>
                <w:lang w:val="en-GB" w:eastAsia="zh-CN"/>
              </w:rPr>
              <w:t>er BC</w:t>
            </w:r>
          </w:p>
        </w:tc>
        <w:tc>
          <w:tcPr>
            <w:tcW w:w="198"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198"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346"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hint="eastAsia" w:ascii="Arial" w:hAnsi="Arial" w:cs="Arial"/>
                <w:sz w:val="18"/>
                <w:szCs w:val="18"/>
                <w:lang w:val="en-GB" w:eastAsia="zh-CN"/>
              </w:rPr>
              <w:t>N</w:t>
            </w:r>
            <w:r>
              <w:rPr>
                <w:rFonts w:ascii="Arial" w:hAnsi="Arial" w:cs="Arial"/>
                <w:sz w:val="18"/>
                <w:szCs w:val="18"/>
                <w:lang w:val="en-GB" w:eastAsia="zh-CN"/>
              </w:rPr>
              <w:t>/A</w:t>
            </w:r>
          </w:p>
        </w:tc>
        <w:tc>
          <w:tcPr>
            <w:tcW w:w="148"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rPr>
            </w:pPr>
          </w:p>
        </w:tc>
        <w:tc>
          <w:tcPr>
            <w:tcW w:w="254" w:type="pct"/>
            <w:tcBorders>
              <w:top w:val="single" w:color="auto" w:sz="4" w:space="0"/>
              <w:left w:val="single" w:color="auto" w:sz="4" w:space="0"/>
              <w:bottom w:val="single" w:color="auto" w:sz="4" w:space="0"/>
              <w:right w:val="single" w:color="auto" w:sz="4" w:space="0"/>
            </w:tcBorders>
          </w:tcPr>
          <w:p>
            <w:pPr>
              <w:widowControl w:val="0"/>
              <w:overflowPunct/>
              <w:autoSpaceDE/>
              <w:autoSpaceDN/>
              <w:adjustRightInd/>
              <w:spacing w:after="0"/>
              <w:jc w:val="left"/>
              <w:textAlignment w:val="auto"/>
              <w:rPr>
                <w:rFonts w:ascii="Arial" w:hAnsi="Arial" w:cs="Arial"/>
                <w:sz w:val="18"/>
                <w:szCs w:val="18"/>
                <w:lang w:val="en-GB" w:eastAsia="zh-CN"/>
              </w:rPr>
            </w:pPr>
            <w:r>
              <w:rPr>
                <w:rFonts w:ascii="Arial" w:hAnsi="Arial" w:cs="Arial"/>
                <w:sz w:val="18"/>
                <w:szCs w:val="18"/>
                <w:lang w:val="en-GB" w:eastAsia="zh-CN"/>
              </w:rPr>
              <w:t>FFS details</w:t>
            </w:r>
          </w:p>
        </w:tc>
      </w:tr>
    </w:tbl>
    <w:p>
      <w:pPr>
        <w:widowControl w:val="0"/>
        <w:rPr>
          <w:lang w:val="en-GB" w:eastAsia="zh-CN"/>
        </w:rPr>
      </w:pPr>
      <w:r>
        <w:rPr>
          <w:rFonts w:hint="eastAsia"/>
          <w:lang w:val="en-GB" w:eastAsia="zh-CN"/>
        </w:rPr>
        <w:t>N</w:t>
      </w:r>
      <w:r>
        <w:rPr>
          <w:lang w:val="en-GB" w:eastAsia="zh-CN"/>
        </w:rPr>
        <w:t>ote:</w:t>
      </w:r>
    </w:p>
    <w:p>
      <w:pPr>
        <w:pStyle w:val="114"/>
        <w:widowControl w:val="0"/>
        <w:numPr>
          <w:ilvl w:val="0"/>
          <w:numId w:val="12"/>
        </w:numPr>
        <w:ind w:left="488" w:leftChars="244"/>
        <w:rPr>
          <w:lang w:eastAsia="zh-CN"/>
        </w:rPr>
      </w:pPr>
      <w:r>
        <w:rPr>
          <w:lang w:eastAsia="zh-CN"/>
        </w:rPr>
        <w:t>If UE supports Option1 for FG 37-1, the UE also needs to at least support Option1 for FG 22-1, UE may also support Option2 for FG22-1;</w:t>
      </w:r>
    </w:p>
    <w:p>
      <w:pPr>
        <w:pStyle w:val="114"/>
        <w:widowControl w:val="0"/>
        <w:numPr>
          <w:ilvl w:val="0"/>
          <w:numId w:val="12"/>
        </w:numPr>
        <w:ind w:left="488" w:leftChars="244"/>
        <w:rPr>
          <w:lang w:eastAsia="zh-CN"/>
        </w:rPr>
      </w:pPr>
      <w:r>
        <w:rPr>
          <w:lang w:eastAsia="zh-CN"/>
        </w:rPr>
        <w:t>If UE supports Option2 for FG 37-1, the UE also needs to at least support Option2 for FG 22-1, UE may also support Option1 for FG22-1;</w:t>
      </w:r>
    </w:p>
    <w:p>
      <w:pPr>
        <w:pStyle w:val="114"/>
        <w:widowControl w:val="0"/>
        <w:numPr>
          <w:ilvl w:val="0"/>
          <w:numId w:val="12"/>
        </w:numPr>
        <w:ind w:left="488" w:leftChars="244"/>
        <w:rPr>
          <w:lang w:eastAsia="zh-CN"/>
        </w:rPr>
      </w:pPr>
      <w:r>
        <w:rPr>
          <w:lang w:eastAsia="zh-CN"/>
        </w:rPr>
        <w:t>If UE supports both Option1 and Option2 for FG 37-1, the UE also needs to support both Option1 and Option2 for FG 22-1;</w:t>
      </w:r>
    </w:p>
    <w:p>
      <w:pPr>
        <w:rPr>
          <w:lang w:val="en-GB" w:eastAsia="zh-CN"/>
        </w:rPr>
      </w:pPr>
    </w:p>
    <w:p>
      <w:pPr>
        <w:widowControl w:val="0"/>
        <w:rPr>
          <w:highlight w:val="cyan"/>
          <w:lang w:val="en-GB" w:eastAsia="zh-CN"/>
        </w:rPr>
      </w:pPr>
      <w:r>
        <w:rPr>
          <w:highlight w:val="cyan"/>
          <w:lang w:val="en-GB" w:eastAsia="zh-CN"/>
        </w:rPr>
        <w:t>SRS carrier switching</w:t>
      </w:r>
    </w:p>
    <w:p>
      <w:pPr>
        <w:rPr>
          <w:lang w:val="en-GB" w:eastAsia="zh-CN"/>
        </w:rPr>
      </w:pPr>
      <w:r>
        <w:rPr>
          <w:b/>
          <w:i/>
          <w:iCs/>
          <w:color w:val="000000"/>
          <w:lang w:eastAsia="zh-CN"/>
        </w:rPr>
        <w:t xml:space="preserve">Proposal </w:t>
      </w:r>
      <w:r>
        <w:rPr>
          <w:rFonts w:hint="eastAsia"/>
          <w:b/>
          <w:i/>
          <w:iCs/>
          <w:color w:val="000000"/>
          <w:lang w:val="en-US" w:eastAsia="zh-CN"/>
        </w:rPr>
        <w:t>2</w:t>
      </w:r>
      <w:r>
        <w:rPr>
          <w:b/>
          <w:i/>
          <w:iCs/>
          <w:color w:val="000000"/>
          <w:lang w:eastAsia="zh-CN"/>
        </w:rPr>
        <w:t>:</w:t>
      </w:r>
      <w:r>
        <w:rPr>
          <w:i/>
          <w:iCs/>
          <w:color w:val="000000"/>
          <w:lang w:eastAsia="zh-CN"/>
        </w:rPr>
        <w:t xml:space="preserve"> Introduce a new Rel-17 UE FG to indicate if UL transmission in one band within a BandCombination impacts UL transmission in another band within the BandCombination for SRS carrier switching.</w:t>
      </w:r>
    </w:p>
    <w:p>
      <w:pPr>
        <w:pStyle w:val="2"/>
        <w:rPr>
          <w:lang w:eastAsia="zh-CN"/>
        </w:rPr>
      </w:pPr>
      <w:r>
        <w:rPr>
          <w:rFonts w:hint="eastAsia"/>
          <w:lang w:eastAsia="zh-CN"/>
        </w:rPr>
        <w:t>R</w:t>
      </w:r>
      <w:r>
        <w:rPr>
          <w:lang w:eastAsia="zh-CN"/>
        </w:rPr>
        <w:t>eference</w:t>
      </w:r>
    </w:p>
    <w:p>
      <w:pPr>
        <w:pStyle w:val="114"/>
        <w:numPr>
          <w:ilvl w:val="0"/>
          <w:numId w:val="15"/>
        </w:numPr>
        <w:rPr>
          <w:lang w:eastAsia="zh-CN"/>
        </w:rPr>
      </w:pPr>
      <w:r>
        <w:rPr>
          <w:lang w:eastAsia="zh-CN"/>
        </w:rPr>
        <w:t>R1-2200780, Updated RAN1 UE features list for Rel-17 NR after RAN1 #107bis-e, RAN1#107b-e, Moderator (NTT DOCOMO, INC.).</w:t>
      </w:r>
      <w:bookmarkStart w:id="3" w:name="_GoBack"/>
      <w:bookmarkEnd w:id="3"/>
    </w:p>
    <w:sectPr>
      <w:footerReference r:id="rId7" w:type="default"/>
      <w:headerReference r:id="rId6" w:type="even"/>
      <w:footerReference r:id="rId8" w:type="even"/>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6</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3950C76"/>
    <w:multiLevelType w:val="multilevel"/>
    <w:tmpl w:val="03950C76"/>
    <w:lvl w:ilvl="0" w:tentative="0">
      <w:start w:val="1"/>
      <w:numFmt w:val="decimal"/>
      <w:lvlText w:val="[%1]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10C75541"/>
    <w:multiLevelType w:val="multilevel"/>
    <w:tmpl w:val="10C7554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5">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7">
    <w:nsid w:val="56677385"/>
    <w:multiLevelType w:val="multilevel"/>
    <w:tmpl w:val="56677385"/>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4E74C5B"/>
    <w:multiLevelType w:val="multilevel"/>
    <w:tmpl w:val="64E74C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7B4269EA"/>
    <w:multiLevelType w:val="multilevel"/>
    <w:tmpl w:val="7B4269E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0"/>
  </w:num>
  <w:num w:numId="4">
    <w:abstractNumId w:val="6"/>
  </w:num>
  <w:num w:numId="5">
    <w:abstractNumId w:val="14"/>
  </w:num>
  <w:num w:numId="6">
    <w:abstractNumId w:val="8"/>
  </w:num>
  <w:num w:numId="7">
    <w:abstractNumId w:val="5"/>
  </w:num>
  <w:num w:numId="8">
    <w:abstractNumId w:val="12"/>
  </w:num>
  <w:num w:numId="9">
    <w:abstractNumId w:val="11"/>
  </w:num>
  <w:num w:numId="10">
    <w:abstractNumId w:val="0"/>
    <w:lvlOverride w:ilvl="0">
      <w:lvl w:ilvl="0" w:tentative="1">
        <w:start w:val="1"/>
        <w:numFmt w:val="bullet"/>
        <w:pStyle w:val="162"/>
        <w:lvlText w:val=""/>
        <w:legacy w:legacy="1" w:legacySpace="0" w:legacyIndent="360"/>
        <w:lvlJc w:val="left"/>
        <w:pPr>
          <w:ind w:left="360" w:hanging="360"/>
        </w:pPr>
        <w:rPr>
          <w:rFonts w:hint="default" w:ascii="Symbol" w:hAnsi="Symbol"/>
        </w:rPr>
      </w:lvl>
    </w:lvlOverride>
  </w:num>
  <w:num w:numId="11">
    <w:abstractNumId w:val="13"/>
  </w:num>
  <w:num w:numId="12">
    <w:abstractNumId w:val="7"/>
  </w:num>
  <w:num w:numId="13">
    <w:abstractNumId w:val="3"/>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8BB"/>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2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9C1"/>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7B4"/>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897"/>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6DB"/>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5E"/>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489"/>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6ECE"/>
    <w:rsid w:val="00337065"/>
    <w:rsid w:val="00337B29"/>
    <w:rsid w:val="00337C71"/>
    <w:rsid w:val="003406B1"/>
    <w:rsid w:val="00340894"/>
    <w:rsid w:val="00340A5C"/>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A3E"/>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5FE"/>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3A0"/>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93C"/>
    <w:rsid w:val="003D3AD8"/>
    <w:rsid w:val="003D3EE3"/>
    <w:rsid w:val="003D4350"/>
    <w:rsid w:val="003D4409"/>
    <w:rsid w:val="003D48C2"/>
    <w:rsid w:val="003D519A"/>
    <w:rsid w:val="003D5717"/>
    <w:rsid w:val="003D5878"/>
    <w:rsid w:val="003D59FE"/>
    <w:rsid w:val="003D63BA"/>
    <w:rsid w:val="003D680E"/>
    <w:rsid w:val="003D69ED"/>
    <w:rsid w:val="003D6AF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2E75"/>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863"/>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1BB"/>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01"/>
    <w:rsid w:val="004D1F7A"/>
    <w:rsid w:val="004D1FC3"/>
    <w:rsid w:val="004D2474"/>
    <w:rsid w:val="004D27C4"/>
    <w:rsid w:val="004D2892"/>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AB1"/>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66A"/>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AD6"/>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1ABB"/>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68A"/>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189"/>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9F3"/>
    <w:rsid w:val="00760D79"/>
    <w:rsid w:val="00761020"/>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04B"/>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831"/>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A7FD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A1"/>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AEC"/>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315"/>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03B"/>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9D7"/>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34E"/>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3E6"/>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5A9"/>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BE"/>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BCB"/>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5E8B"/>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0704"/>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9DC"/>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1A2"/>
    <w:rsid w:val="00AA7819"/>
    <w:rsid w:val="00AA7C4F"/>
    <w:rsid w:val="00AA7EC0"/>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E7FB9"/>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A4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1D"/>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3F60"/>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BF"/>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4E6E"/>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F6"/>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6A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61"/>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2C"/>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296"/>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B7E"/>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0FF"/>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7CA"/>
    <w:rsid w:val="00D31B9F"/>
    <w:rsid w:val="00D31BEA"/>
    <w:rsid w:val="00D31CEF"/>
    <w:rsid w:val="00D328AE"/>
    <w:rsid w:val="00D32D17"/>
    <w:rsid w:val="00D33313"/>
    <w:rsid w:val="00D3332A"/>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7F4"/>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2D"/>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CD9"/>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299"/>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2A7"/>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B7B"/>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78E"/>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0AD"/>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81D"/>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47"/>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00"/>
    <w:rsid w:val="00F64928"/>
    <w:rsid w:val="00F64966"/>
    <w:rsid w:val="00F64B01"/>
    <w:rsid w:val="00F65920"/>
    <w:rsid w:val="00F65961"/>
    <w:rsid w:val="00F65E8A"/>
    <w:rsid w:val="00F65E91"/>
    <w:rsid w:val="00F660B8"/>
    <w:rsid w:val="00F6617D"/>
    <w:rsid w:val="00F66198"/>
    <w:rsid w:val="00F66709"/>
    <w:rsid w:val="00F668AD"/>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67"/>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142677"/>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7717BA"/>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E36F86"/>
    <w:rsid w:val="3EF83C43"/>
    <w:rsid w:val="3F01664D"/>
    <w:rsid w:val="3F175FC8"/>
    <w:rsid w:val="3FD010A5"/>
    <w:rsid w:val="40850DCD"/>
    <w:rsid w:val="41AC1D9C"/>
    <w:rsid w:val="4242619A"/>
    <w:rsid w:val="42B20782"/>
    <w:rsid w:val="42D56493"/>
    <w:rsid w:val="43C574D7"/>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9B6B78"/>
    <w:rsid w:val="59C75644"/>
    <w:rsid w:val="5AF07FF7"/>
    <w:rsid w:val="5AF422E5"/>
    <w:rsid w:val="5BF26431"/>
    <w:rsid w:val="5E780DEA"/>
    <w:rsid w:val="5F631FA8"/>
    <w:rsid w:val="626574FC"/>
    <w:rsid w:val="62772955"/>
    <w:rsid w:val="65507243"/>
    <w:rsid w:val="65576B9C"/>
    <w:rsid w:val="656027FF"/>
    <w:rsid w:val="66457E51"/>
    <w:rsid w:val="6680376E"/>
    <w:rsid w:val="66AD5917"/>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0894F55"/>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3"/>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 w:type="character" w:customStyle="1" w:styleId="161">
    <w:name w:val="B1 Zchn"/>
    <w:qFormat/>
    <w:uiPriority w:val="0"/>
    <w:rPr>
      <w:lang w:eastAsia="en-US"/>
    </w:rPr>
  </w:style>
  <w:style w:type="paragraph" w:customStyle="1" w:styleId="162">
    <w:name w:val="text intend 1"/>
    <w:basedOn w:val="95"/>
    <w:qFormat/>
    <w:uiPriority w:val="0"/>
    <w:pPr>
      <w:numPr>
        <w:ilvl w:val="0"/>
        <w:numId w:val="10"/>
      </w:numPr>
      <w:spacing w:after="120"/>
    </w:pPr>
    <w:rPr>
      <w:rFonts w:eastAsia="MS Mincho"/>
    </w:rPr>
  </w:style>
  <w:style w:type="character" w:customStyle="1" w:styleId="163">
    <w:name w:val="TAH Car"/>
    <w:link w:val="63"/>
    <w:qFormat/>
    <w:uiPriority w:val="0"/>
    <w:rPr>
      <w:rFonts w:ascii="Arial" w:hAnsi="Arial"/>
      <w:b/>
      <w:sz w:val="18"/>
      <w:lang w:eastAsia="en-US"/>
    </w:rPr>
  </w:style>
  <w:style w:type="character" w:customStyle="1" w:styleId="164">
    <w:name w:val="16"/>
    <w:basedOn w:val="52"/>
    <w:qFormat/>
    <w:uiPriority w:val="0"/>
    <w:rPr>
      <w:rFonts w:hint="default" w:ascii="Times New Roman" w:hAnsi="Times New Roman" w:cs="Times New Roman"/>
      <w:b/>
      <w:bCs/>
    </w:rPr>
  </w:style>
  <w:style w:type="paragraph" w:customStyle="1" w:styleId="165">
    <w:name w:val="List Paragraph3"/>
    <w:basedOn w:val="1"/>
    <w:qFormat/>
    <w:uiPriority w:val="0"/>
    <w:pPr>
      <w:spacing w:before="100" w:beforeAutospacing="1"/>
      <w:ind w:left="720"/>
      <w:contextualSpacing/>
      <w:jc w:val="left"/>
    </w:pPr>
    <w:rPr>
      <w:sz w:val="24"/>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7E8B75-B284-4C33-8D27-1439A8AA5D8F}">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6</Pages>
  <Words>1888</Words>
  <Characters>10768</Characters>
  <Lines>89</Lines>
  <Paragraphs>25</Paragraphs>
  <TotalTime>311</TotalTime>
  <ScaleCrop>false</ScaleCrop>
  <LinksUpToDate>false</LinksUpToDate>
  <CharactersWithSpaces>12631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2021-11-03T01:33:00Z</dcterms:created>
  <dc:creator>ZTE Corporation</dc:creator>
  <cp:lastModifiedBy>ZTE</cp:lastModifiedBy>
  <cp:lastPrinted>2018-04-07T03:05:00Z</cp:lastPrinted>
  <dcterms:modified xsi:type="dcterms:W3CDTF">2022-02-14T11:32:07Z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